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F67F" w14:textId="53D33136" w:rsidR="000C6B37" w:rsidRPr="003243AC" w:rsidRDefault="007749D5" w:rsidP="00F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REGOLAMENTO</w:t>
      </w:r>
      <w:r w:rsidR="004C4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INTERNO PER PREVENZIONE CORONAVIRUS</w:t>
      </w:r>
    </w:p>
    <w:p w14:paraId="4E60CEC4" w14:textId="77777777" w:rsidR="00F73F11" w:rsidRPr="003243AC" w:rsidRDefault="00F73F11" w:rsidP="00C058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28197" w14:textId="77777777" w:rsidR="007749D5" w:rsidRDefault="007430F8" w:rsidP="00C05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43AC">
        <w:rPr>
          <w:rFonts w:ascii="Times New Roman" w:hAnsi="Times New Roman" w:cs="Times New Roman"/>
          <w:sz w:val="24"/>
          <w:szCs w:val="24"/>
        </w:rPr>
        <w:t>I</w:t>
      </w:r>
      <w:r w:rsidR="005511E8">
        <w:rPr>
          <w:rFonts w:ascii="Times New Roman" w:hAnsi="Times New Roman" w:cs="Times New Roman"/>
          <w:sz w:val="24"/>
          <w:szCs w:val="24"/>
        </w:rPr>
        <w:t xml:space="preserve">l </w:t>
      </w:r>
      <w:r w:rsidR="007749D5">
        <w:rPr>
          <w:rFonts w:ascii="Times New Roman" w:hAnsi="Times New Roman" w:cs="Times New Roman"/>
          <w:sz w:val="24"/>
          <w:szCs w:val="24"/>
        </w:rPr>
        <w:t>S</w:t>
      </w:r>
      <w:r w:rsidR="005511E8">
        <w:rPr>
          <w:rFonts w:ascii="Times New Roman" w:hAnsi="Times New Roman" w:cs="Times New Roman"/>
          <w:sz w:val="24"/>
          <w:szCs w:val="24"/>
        </w:rPr>
        <w:t>ottoscritto</w:t>
      </w:r>
      <w:r w:rsidR="007749D5">
        <w:rPr>
          <w:rFonts w:ascii="Times New Roman" w:hAnsi="Times New Roman" w:cs="Times New Roman"/>
          <w:sz w:val="24"/>
          <w:szCs w:val="24"/>
        </w:rPr>
        <w:t xml:space="preserve"> </w:t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</w:r>
      <w:r w:rsidR="007749D5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proofErr w:type="gramStart"/>
      <w:r w:rsidR="007749D5">
        <w:rPr>
          <w:rFonts w:ascii="Times New Roman" w:hAnsi="Times New Roman" w:cs="Times New Roman"/>
          <w:sz w:val="24"/>
          <w:szCs w:val="24"/>
        </w:rPr>
        <w:t>_</w:t>
      </w:r>
      <w:r w:rsidRPr="003243AC">
        <w:rPr>
          <w:rFonts w:ascii="Times New Roman" w:hAnsi="Times New Roman" w:cs="Times New Roman"/>
          <w:sz w:val="24"/>
          <w:szCs w:val="24"/>
        </w:rPr>
        <w:t xml:space="preserve"> </w:t>
      </w:r>
      <w:r w:rsidR="007749D5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7749D5">
        <w:rPr>
          <w:rFonts w:ascii="Times New Roman" w:hAnsi="Times New Roman" w:cs="Times New Roman"/>
          <w:sz w:val="24"/>
          <w:szCs w:val="24"/>
        </w:rPr>
        <w:t xml:space="preserve"> qualità di D</w:t>
      </w:r>
      <w:r w:rsidRPr="003243AC">
        <w:rPr>
          <w:rFonts w:ascii="Times New Roman" w:hAnsi="Times New Roman" w:cs="Times New Roman"/>
          <w:sz w:val="24"/>
          <w:szCs w:val="24"/>
        </w:rPr>
        <w:t xml:space="preserve">atore di Lavoro ______della </w:t>
      </w:r>
    </w:p>
    <w:p w14:paraId="6418345F" w14:textId="31518743" w:rsidR="007749D5" w:rsidRDefault="007430F8" w:rsidP="00C05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43AC">
        <w:rPr>
          <w:rFonts w:ascii="Times New Roman" w:hAnsi="Times New Roman" w:cs="Times New Roman"/>
          <w:sz w:val="24"/>
          <w:szCs w:val="24"/>
        </w:rPr>
        <w:t xml:space="preserve">ditta _________________________ a seguito dell’emergenza </w:t>
      </w:r>
      <w:proofErr w:type="spellStart"/>
      <w:r w:rsidRPr="003243A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243AC">
        <w:rPr>
          <w:rFonts w:ascii="Times New Roman" w:hAnsi="Times New Roman" w:cs="Times New Roman"/>
          <w:sz w:val="24"/>
          <w:szCs w:val="24"/>
        </w:rPr>
        <w:t xml:space="preserve"> 1 </w:t>
      </w:r>
      <w:r w:rsidR="007749D5">
        <w:rPr>
          <w:rFonts w:ascii="Times New Roman" w:hAnsi="Times New Roman" w:cs="Times New Roman"/>
          <w:sz w:val="24"/>
          <w:szCs w:val="24"/>
        </w:rPr>
        <w:t xml:space="preserve">dichiara di mettere in atto le </w:t>
      </w:r>
    </w:p>
    <w:p w14:paraId="0026DCA3" w14:textId="3993545D" w:rsidR="007749D5" w:rsidRDefault="007749D5" w:rsidP="00C05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seguenti misure di prevenzione estratte da:</w:t>
      </w:r>
    </w:p>
    <w:p w14:paraId="76E98D0C" w14:textId="77777777" w:rsidR="007749D5" w:rsidRPr="00F62219" w:rsidRDefault="007749D5" w:rsidP="007749D5">
      <w:pPr>
        <w:pStyle w:val="Default"/>
        <w:numPr>
          <w:ilvl w:val="0"/>
          <w:numId w:val="4"/>
        </w:numPr>
        <w:spacing w:after="46"/>
        <w:jc w:val="both"/>
        <w:rPr>
          <w:sz w:val="16"/>
          <w:szCs w:val="16"/>
        </w:rPr>
      </w:pPr>
      <w:r w:rsidRPr="00F62219">
        <w:rPr>
          <w:sz w:val="16"/>
          <w:szCs w:val="16"/>
        </w:rPr>
        <w:t>DPCM dell’11 marzo 2020</w:t>
      </w:r>
    </w:p>
    <w:p w14:paraId="78D50316" w14:textId="77777777" w:rsidR="007749D5" w:rsidRPr="00F62219" w:rsidRDefault="007749D5" w:rsidP="007749D5">
      <w:pPr>
        <w:pStyle w:val="Default"/>
        <w:numPr>
          <w:ilvl w:val="0"/>
          <w:numId w:val="4"/>
        </w:numPr>
        <w:spacing w:after="46"/>
        <w:jc w:val="both"/>
        <w:rPr>
          <w:sz w:val="16"/>
          <w:szCs w:val="16"/>
        </w:rPr>
      </w:pPr>
      <w:r w:rsidRPr="00F62219">
        <w:rPr>
          <w:sz w:val="16"/>
          <w:szCs w:val="16"/>
        </w:rPr>
        <w:t>Regione Veneto: indicazioni per la tutela della salute negli ambienti di lavoro non sanitari</w:t>
      </w:r>
    </w:p>
    <w:p w14:paraId="1EE45B68" w14:textId="77777777" w:rsidR="007749D5" w:rsidRPr="00F62219" w:rsidRDefault="007749D5" w:rsidP="007749D5">
      <w:pPr>
        <w:pStyle w:val="Default"/>
        <w:numPr>
          <w:ilvl w:val="0"/>
          <w:numId w:val="4"/>
        </w:numPr>
        <w:spacing w:after="46"/>
        <w:jc w:val="both"/>
        <w:rPr>
          <w:sz w:val="16"/>
          <w:szCs w:val="16"/>
        </w:rPr>
      </w:pPr>
      <w:r w:rsidRPr="00F62219">
        <w:rPr>
          <w:sz w:val="16"/>
          <w:szCs w:val="16"/>
        </w:rPr>
        <w:t>“Protocollo condiviso di regolamentazione delle misure per il contrasto e il contenimento della diffusione del virus Covid-19 negli ambienti di lavoro” siglato a livello nazionale dalle Parti Sociali il 14 marzo 2020, ratificato nella medesima giornata a livello regionale.</w:t>
      </w:r>
    </w:p>
    <w:p w14:paraId="78485D22" w14:textId="4FA3A905" w:rsidR="005511E8" w:rsidRDefault="00E8638B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t xml:space="preserve"> </w:t>
      </w:r>
      <w:r w:rsidR="00E57C3D" w:rsidRPr="003243AC">
        <w:rPr>
          <w:rStyle w:val="Enfasigrassetto"/>
        </w:rPr>
        <w:t>Controlli all’ingress</w:t>
      </w:r>
      <w:r w:rsidR="00E57C3D">
        <w:rPr>
          <w:rStyle w:val="Enfasigrassetto"/>
        </w:rPr>
        <w:t>o d</w:t>
      </w:r>
      <w:r w:rsidR="007749D5">
        <w:rPr>
          <w:rStyle w:val="Enfasigrassetto"/>
        </w:rPr>
        <w:t xml:space="preserve">i </w:t>
      </w:r>
      <w:r w:rsidR="00E57C3D">
        <w:rPr>
          <w:rStyle w:val="Enfasigrassetto"/>
        </w:rPr>
        <w:t>temperatura corporea</w:t>
      </w:r>
      <w:r w:rsidR="007749D5">
        <w:rPr>
          <w:rStyle w:val="Enfasigrassetto"/>
        </w:rPr>
        <w:t>, stato di salute e provenienza: v</w:t>
      </w:r>
      <w:r w:rsidR="005511E8">
        <w:t>i</w:t>
      </w:r>
      <w:r w:rsidR="00E57C3D">
        <w:t>ene vietato</w:t>
      </w:r>
      <w:r w:rsidR="005511E8">
        <w:t xml:space="preserve"> l’ingresso a personale che manifesti febbre oltre i 37,5°</w:t>
      </w:r>
      <w:r w:rsidR="007749D5">
        <w:t xml:space="preserve">, </w:t>
      </w:r>
      <w:r w:rsidR="005511E8">
        <w:t>sintomi respiratori</w:t>
      </w:r>
      <w:r w:rsidR="007749D5">
        <w:t xml:space="preserve"> o che sia stato a contatto con soggetti a rischio.</w:t>
      </w:r>
    </w:p>
    <w:p w14:paraId="5D439A5E" w14:textId="255882EE" w:rsidR="007430F8" w:rsidRPr="003243AC" w:rsidRDefault="00E57C3D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430F8" w:rsidRPr="003243AC">
        <w:rPr>
          <w:rStyle w:val="Enfasigrassetto"/>
        </w:rPr>
        <w:t>Limi</w:t>
      </w:r>
      <w:r w:rsidR="007749D5">
        <w:rPr>
          <w:rStyle w:val="Enfasigrassetto"/>
        </w:rPr>
        <w:t xml:space="preserve">tazione dei </w:t>
      </w:r>
      <w:r w:rsidR="007430F8" w:rsidRPr="003243AC">
        <w:rPr>
          <w:rStyle w:val="Enfasigrassetto"/>
        </w:rPr>
        <w:t xml:space="preserve">contatti con </w:t>
      </w:r>
      <w:r w:rsidR="007749D5">
        <w:rPr>
          <w:rStyle w:val="Enfasigrassetto"/>
        </w:rPr>
        <w:t>f</w:t>
      </w:r>
      <w:r w:rsidR="007430F8" w:rsidRPr="003243AC">
        <w:rPr>
          <w:rStyle w:val="Enfasigrassetto"/>
        </w:rPr>
        <w:t>ornitori e</w:t>
      </w:r>
      <w:r>
        <w:rPr>
          <w:rStyle w:val="Enfasigrassetto"/>
        </w:rPr>
        <w:t xml:space="preserve"> clienti</w:t>
      </w:r>
      <w:r w:rsidR="007749D5">
        <w:rPr>
          <w:rStyle w:val="Enfasigrassetto"/>
        </w:rPr>
        <w:t>: p</w:t>
      </w:r>
      <w:r w:rsidR="007430F8" w:rsidRPr="003243AC">
        <w:t xml:space="preserve">er l’accesso di fornitori </w:t>
      </w:r>
      <w:r>
        <w:t xml:space="preserve">e/o clienti vengono </w:t>
      </w:r>
      <w:r w:rsidR="007430F8" w:rsidRPr="003243AC">
        <w:t>individua</w:t>
      </w:r>
      <w:r>
        <w:t>te</w:t>
      </w:r>
      <w:r w:rsidR="007430F8" w:rsidRPr="003243AC">
        <w:t xml:space="preserve"> procedure di ingresso, transito e uscita, mediante modalità, percorsi e tempistiche predefinite, al fine di ridurre le occasioni di contatto con il personale</w:t>
      </w:r>
      <w:r>
        <w:t xml:space="preserve"> interno.</w:t>
      </w:r>
    </w:p>
    <w:p w14:paraId="252CB8A2" w14:textId="29190421" w:rsidR="001A1B2A" w:rsidRDefault="00950D31" w:rsidP="001A1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430F8" w:rsidRPr="003C2CB2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Pulizia e sanificazione</w:t>
      </w:r>
      <w:r w:rsidR="00D95444" w:rsidRPr="003C2CB2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D95444">
        <w:rPr>
          <w:rStyle w:val="Enfasigrassetto"/>
        </w:rPr>
        <w:t xml:space="preserve"> v</w:t>
      </w:r>
      <w:r w:rsidR="00F04EDA">
        <w:t xml:space="preserve">iene assicurata </w:t>
      </w:r>
      <w:r w:rsidR="007430F8" w:rsidRPr="003243AC">
        <w:t>la pulizia giornaliera dei locali</w:t>
      </w:r>
      <w:r w:rsidR="00F04EDA">
        <w:t>, delle aree comuni, delle attrezzature di lavoro</w:t>
      </w:r>
      <w:r w:rsidR="007430F8" w:rsidRPr="003243AC">
        <w:t xml:space="preserve"> e dei distributori di bevande e snack.</w:t>
      </w:r>
      <w:r w:rsidR="00D95444">
        <w:t xml:space="preserve"> La sanificazione viene effettuata nelle situazioni a rischio</w:t>
      </w:r>
      <w:r w:rsidR="001A1B2A">
        <w:t>. Pulizia e sanificazione vengono effettuate come da allegato1. Le indicazioni del presente documento sono estese alle imprese di pulizia eventualmente incaricate delle attività.</w:t>
      </w:r>
    </w:p>
    <w:p w14:paraId="3FB3EC2E" w14:textId="77777777" w:rsidR="001A1B2A" w:rsidRDefault="001A1B2A" w:rsidP="001A1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66D3B" w14:textId="74786591" w:rsidR="007430F8" w:rsidRDefault="00950D31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430F8" w:rsidRPr="003243AC">
        <w:rPr>
          <w:rStyle w:val="Enfasigrassetto"/>
        </w:rPr>
        <w:t xml:space="preserve">Igiene </w:t>
      </w:r>
      <w:r w:rsidR="00F04EDA">
        <w:rPr>
          <w:rStyle w:val="Enfasigrassetto"/>
        </w:rPr>
        <w:t>personale</w:t>
      </w:r>
      <w:r w:rsidR="00D95444">
        <w:rPr>
          <w:rStyle w:val="Enfasigrassetto"/>
        </w:rPr>
        <w:t>: tu</w:t>
      </w:r>
      <w:r w:rsidR="00F04EDA">
        <w:t xml:space="preserve">tto il personale </w:t>
      </w:r>
      <w:r w:rsidR="00D95444">
        <w:t xml:space="preserve">deve attuare sistematicamente le norme di igiene personale </w:t>
      </w:r>
      <w:r w:rsidR="00F04EDA">
        <w:t xml:space="preserve">previste per prevenire il contagio. </w:t>
      </w:r>
      <w:r w:rsidR="007430F8" w:rsidRPr="003243AC">
        <w:t>L’azienda</w:t>
      </w:r>
      <w:r w:rsidR="00F04EDA">
        <w:t xml:space="preserve">, a tale scopo, </w:t>
      </w:r>
      <w:r w:rsidR="007430F8" w:rsidRPr="003243AC">
        <w:t>mette a disposizione idonei mezzi detergenti</w:t>
      </w:r>
    </w:p>
    <w:p w14:paraId="1F7C1D51" w14:textId="4271CE88" w:rsidR="00D95444" w:rsidRPr="001A1B2A" w:rsidRDefault="00D95444" w:rsidP="00D95444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bCs/>
          <w:sz w:val="22"/>
          <w:szCs w:val="22"/>
        </w:rPr>
        <w:t>C</w:t>
      </w:r>
      <w:r w:rsidRPr="00D95444">
        <w:rPr>
          <w:b/>
          <w:bCs/>
          <w:sz w:val="22"/>
          <w:szCs w:val="22"/>
        </w:rPr>
        <w:t xml:space="preserve">riterio di distanza </w:t>
      </w:r>
      <w:proofErr w:type="spellStart"/>
      <w:r w:rsidRPr="00D95444">
        <w:rPr>
          <w:b/>
          <w:bCs/>
          <w:i/>
          <w:iCs/>
          <w:sz w:val="22"/>
          <w:szCs w:val="22"/>
        </w:rPr>
        <w:t>droplet</w:t>
      </w:r>
      <w:proofErr w:type="spellEnd"/>
      <w:r w:rsidRPr="00D95444">
        <w:rPr>
          <w:b/>
          <w:bCs/>
          <w:sz w:val="22"/>
          <w:szCs w:val="22"/>
        </w:rPr>
        <w:t xml:space="preserve">” (almeno 1 metro di separazione tra </w:t>
      </w:r>
      <w:r>
        <w:rPr>
          <w:b/>
          <w:bCs/>
          <w:sz w:val="22"/>
          <w:szCs w:val="22"/>
        </w:rPr>
        <w:t xml:space="preserve">le persone): </w:t>
      </w:r>
      <w:r w:rsidRPr="001A1B2A">
        <w:rPr>
          <w:sz w:val="22"/>
          <w:szCs w:val="22"/>
        </w:rPr>
        <w:t>tutto il personale deve fare costante attenzione al mantenimento della distanza di sicurezza. Ove non fosse possibile devono essere obbligatoriamente utilizzati i DPI in dotazione (</w:t>
      </w:r>
      <w:r w:rsidRPr="001A1B2A">
        <w:t>mascher</w:t>
      </w:r>
      <w:r w:rsidR="000C6AE0" w:rsidRPr="001A1B2A">
        <w:t>ine</w:t>
      </w:r>
      <w:r w:rsidRPr="001A1B2A">
        <w:t xml:space="preserve"> FFP2 e FFP3</w:t>
      </w:r>
      <w:r w:rsidR="000C6AE0" w:rsidRPr="001A1B2A">
        <w:t>)</w:t>
      </w:r>
      <w:r w:rsidRPr="001A1B2A">
        <w:t>.</w:t>
      </w:r>
    </w:p>
    <w:p w14:paraId="1902E1E7" w14:textId="1566CFF4" w:rsidR="00D66775" w:rsidRPr="00D66775" w:rsidRDefault="00950D31" w:rsidP="000C6AE0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430F8" w:rsidRPr="003243AC">
        <w:rPr>
          <w:rStyle w:val="Enfasigrassetto"/>
        </w:rPr>
        <w:t>Spazi comuni</w:t>
      </w:r>
      <w:r w:rsidR="000C6AE0">
        <w:rPr>
          <w:rStyle w:val="Enfasigrassetto"/>
        </w:rPr>
        <w:t>: v</w:t>
      </w:r>
      <w:r w:rsidR="00D66775">
        <w:t xml:space="preserve">iene </w:t>
      </w:r>
      <w:r w:rsidR="00D66775" w:rsidRPr="00D66775">
        <w:t>regolamenta</w:t>
      </w:r>
      <w:r w:rsidR="00D66775">
        <w:t>to</w:t>
      </w:r>
      <w:r w:rsidR="00D66775" w:rsidRPr="00D66775">
        <w:t xml:space="preserve"> l’accesso a spazi comuni, spogliatoi</w:t>
      </w:r>
      <w:r w:rsidR="00D66775">
        <w:t>,</w:t>
      </w:r>
      <w:r w:rsidR="00D66775" w:rsidRPr="00D66775">
        <w:t xml:space="preserve"> mense</w:t>
      </w:r>
      <w:r w:rsidR="00D66775">
        <w:t xml:space="preserve">, </w:t>
      </w:r>
      <w:r w:rsidR="00D66775" w:rsidRPr="00D66775">
        <w:t>aree caffè</w:t>
      </w:r>
      <w:r w:rsidR="00D66775">
        <w:t xml:space="preserve"> e fumatori</w:t>
      </w:r>
      <w:r w:rsidR="00D66775" w:rsidRPr="00D66775">
        <w:t>,</w:t>
      </w:r>
      <w:r w:rsidR="00D66775">
        <w:t xml:space="preserve"> </w:t>
      </w:r>
      <w:r w:rsidR="00D66775" w:rsidRPr="00D66775">
        <w:t xml:space="preserve">limitando il numero di presenze contemporanee e dando in ogni caso disposizioni di rispettare il </w:t>
      </w:r>
      <w:r w:rsidR="00D66775">
        <w:t>metro di distanza.</w:t>
      </w:r>
    </w:p>
    <w:p w14:paraId="67E20EC9" w14:textId="30454EB5" w:rsidR="0006005C" w:rsidRPr="0006005C" w:rsidRDefault="00950D31" w:rsidP="000C6AE0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430F8" w:rsidRPr="003243AC">
        <w:rPr>
          <w:rStyle w:val="Enfasigrassetto"/>
        </w:rPr>
        <w:t>Rimodulazione dei turni</w:t>
      </w:r>
      <w:r w:rsidR="000C6AE0">
        <w:rPr>
          <w:rStyle w:val="Enfasigrassetto"/>
        </w:rPr>
        <w:t>: v</w:t>
      </w:r>
      <w:r w:rsidR="0006005C">
        <w:t xml:space="preserve">engono </w:t>
      </w:r>
      <w:r w:rsidR="0006005C" w:rsidRPr="0006005C">
        <w:t>adotta</w:t>
      </w:r>
      <w:r w:rsidR="0006005C">
        <w:t>t</w:t>
      </w:r>
      <w:r w:rsidR="0006005C" w:rsidRPr="0006005C">
        <w:t>e misure organizzative per favorire orari di ingresso/uscita</w:t>
      </w:r>
      <w:r w:rsidR="0006005C">
        <w:t xml:space="preserve"> </w:t>
      </w:r>
      <w:r w:rsidR="0006005C" w:rsidRPr="0006005C">
        <w:t>scaglionati</w:t>
      </w:r>
      <w:r w:rsidR="0006005C">
        <w:t xml:space="preserve"> dei dipendenti</w:t>
      </w:r>
      <w:r w:rsidR="0006005C" w:rsidRPr="0006005C">
        <w:t>, al fine di limitare al massimo le occasioni di contatto nelle zone di ingresso/uscita;</w:t>
      </w:r>
    </w:p>
    <w:p w14:paraId="27BA0066" w14:textId="3EAF63CF" w:rsidR="007430F8" w:rsidRDefault="00950D31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430F8" w:rsidRPr="003243AC">
        <w:rPr>
          <w:rStyle w:val="Enfasigrassetto"/>
        </w:rPr>
        <w:t>Stop trasferte</w:t>
      </w:r>
      <w:r w:rsidR="000C6AE0">
        <w:rPr>
          <w:rStyle w:val="Enfasigrassetto"/>
        </w:rPr>
        <w:t>: v</w:t>
      </w:r>
      <w:r w:rsidR="002915C6">
        <w:t xml:space="preserve">engono </w:t>
      </w:r>
      <w:r w:rsidR="007430F8" w:rsidRPr="003243AC">
        <w:t>annullate tutte le trasferte e i viaggi di lavoro nazionali e internazionali, anche se già concordati o organizzati</w:t>
      </w:r>
    </w:p>
    <w:p w14:paraId="02A94DD4" w14:textId="3FC026F4" w:rsidR="002915C6" w:rsidRDefault="002915C6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243AC">
        <w:rPr>
          <w:rStyle w:val="Enfasigrassetto"/>
        </w:rPr>
        <w:t>Stop riunioni</w:t>
      </w:r>
      <w:r w:rsidR="000C6AE0">
        <w:rPr>
          <w:rStyle w:val="Enfasigrassetto"/>
        </w:rPr>
        <w:t xml:space="preserve">: sono vietate </w:t>
      </w:r>
      <w:r w:rsidRPr="003243AC">
        <w:t xml:space="preserve">le riunioni in presenza </w:t>
      </w:r>
    </w:p>
    <w:p w14:paraId="49A324A0" w14:textId="77777777" w:rsidR="001A1B2A" w:rsidRDefault="001A1B2A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</w:p>
    <w:p w14:paraId="5F1196F3" w14:textId="602D36A1" w:rsidR="00AC040C" w:rsidRPr="003243AC" w:rsidRDefault="00AC040C" w:rsidP="000C6AE0">
      <w:pPr>
        <w:jc w:val="both"/>
      </w:pPr>
      <w:r w:rsidRPr="00E8638B">
        <w:rPr>
          <w:sz w:val="40"/>
          <w:szCs w:val="40"/>
        </w:rPr>
        <w:lastRenderedPageBreak/>
        <w:t>□</w:t>
      </w:r>
      <w:r>
        <w:rPr>
          <w:sz w:val="40"/>
          <w:szCs w:val="40"/>
        </w:rPr>
        <w:t xml:space="preserve"> </w:t>
      </w:r>
      <w:r w:rsidRPr="00AC040C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Comunicazione a distanza</w:t>
      </w:r>
      <w:r w:rsidR="000C6AE0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: v</w:t>
      </w:r>
      <w:r>
        <w:t xml:space="preserve">engono utilizzate modalità di comunicazione a distanza anche tra colleghi che operano nei medesimi uffici e spazi aziendali per evitare situazioni </w:t>
      </w:r>
      <w:r w:rsidR="000C6AE0">
        <w:t xml:space="preserve">di </w:t>
      </w:r>
      <w:r>
        <w:t>affollamento e assembramento</w:t>
      </w:r>
    </w:p>
    <w:p w14:paraId="5DFE6E33" w14:textId="4B900598" w:rsidR="00AC040C" w:rsidRDefault="00AC040C" w:rsidP="00C05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AC040C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Gestione dei rifiuti</w:t>
      </w:r>
      <w:r w:rsidR="000C6AE0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: vi</w:t>
      </w:r>
      <w:r w:rsidRPr="00C05848">
        <w:rPr>
          <w:rFonts w:ascii="Times New Roman" w:eastAsia="Times New Roman" w:hAnsi="Times New Roman" w:cs="Times New Roman"/>
          <w:sz w:val="24"/>
          <w:szCs w:val="24"/>
          <w:lang w:eastAsia="it-IT"/>
        </w:rPr>
        <w:t>ene organizzata la gestione dei rifiuti collegati (fazzoletti, stracci per la pulizia, e DPI usa e getta)</w:t>
      </w:r>
    </w:p>
    <w:p w14:paraId="063F9F48" w14:textId="62AFF755" w:rsidR="001A1B2A" w:rsidRDefault="001A1B2A" w:rsidP="001A1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AC040C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Gestione dei rifiuti</w:t>
      </w:r>
      <w:r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: vi</w:t>
      </w:r>
      <w:r w:rsidRPr="00C05848">
        <w:rPr>
          <w:rFonts w:ascii="Times New Roman" w:eastAsia="Times New Roman" w:hAnsi="Times New Roman" w:cs="Times New Roman"/>
          <w:sz w:val="24"/>
          <w:szCs w:val="24"/>
          <w:lang w:eastAsia="it-IT"/>
        </w:rPr>
        <w:t>ene organizzata la gestione dei rifiuti collegati (fazzoletti, stracci per la pulizia, e DPI usa e getta)</w:t>
      </w:r>
    </w:p>
    <w:p w14:paraId="13B050AC" w14:textId="51651007" w:rsidR="001A1B2A" w:rsidRDefault="001A1B2A" w:rsidP="001A1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638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C43B7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Situazioni di potenziale contagio: le situazioni di potenziale</w:t>
      </w:r>
      <w:r>
        <w:rPr>
          <w:sz w:val="40"/>
          <w:szCs w:val="40"/>
        </w:rPr>
        <w:t xml:space="preserve"> </w:t>
      </w:r>
      <w:r w:rsidRPr="00AC040C"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Gestione dei rifiuti</w:t>
      </w:r>
      <w:r>
        <w:rPr>
          <w:rStyle w:val="Enfasigrassetto"/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F33747E" w14:textId="1A9CA3AB" w:rsidR="001A1B2A" w:rsidRDefault="001A1B2A" w:rsidP="00C05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FEDD6C" w14:textId="77777777" w:rsidR="004C43B7" w:rsidRDefault="004C43B7" w:rsidP="004C43B7">
      <w:pPr>
        <w:jc w:val="both"/>
      </w:pPr>
    </w:p>
    <w:p w14:paraId="1C813681" w14:textId="77777777" w:rsidR="004C43B7" w:rsidRDefault="004C43B7" w:rsidP="004C43B7">
      <w:pPr>
        <w:tabs>
          <w:tab w:val="left" w:pos="8568"/>
        </w:tabs>
        <w:jc w:val="both"/>
      </w:pPr>
      <w:r>
        <w:t>Data</w:t>
      </w:r>
      <w:r>
        <w:tab/>
      </w:r>
    </w:p>
    <w:p w14:paraId="2414A42B" w14:textId="564BA3ED" w:rsidR="004C43B7" w:rsidRDefault="004C43B7" w:rsidP="004C43B7">
      <w:pPr>
        <w:tabs>
          <w:tab w:val="left" w:pos="8568"/>
        </w:tabs>
        <w:jc w:val="both"/>
      </w:pPr>
      <w:r>
        <w:t>Per presa visione dei lavoratori: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3D4C" w14:paraId="234F688C" w14:textId="77777777" w:rsidTr="00F73D4C">
        <w:tc>
          <w:tcPr>
            <w:tcW w:w="4814" w:type="dxa"/>
            <w:shd w:val="clear" w:color="auto" w:fill="808080" w:themeFill="background1" w:themeFillShade="80"/>
            <w:vAlign w:val="center"/>
          </w:tcPr>
          <w:p w14:paraId="0EF03D09" w14:textId="6E26BF8B" w:rsidR="00F73D4C" w:rsidRPr="00F73D4C" w:rsidRDefault="00F73D4C" w:rsidP="00F73D4C">
            <w:pPr>
              <w:tabs>
                <w:tab w:val="left" w:pos="85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LAVORATORE</w:t>
            </w:r>
          </w:p>
        </w:tc>
        <w:tc>
          <w:tcPr>
            <w:tcW w:w="4814" w:type="dxa"/>
            <w:shd w:val="clear" w:color="auto" w:fill="808080" w:themeFill="background1" w:themeFillShade="80"/>
            <w:vAlign w:val="center"/>
          </w:tcPr>
          <w:p w14:paraId="31624DCC" w14:textId="1A412B26" w:rsidR="00F73D4C" w:rsidRPr="00F73D4C" w:rsidRDefault="00F73D4C" w:rsidP="00F73D4C">
            <w:pPr>
              <w:tabs>
                <w:tab w:val="left" w:pos="8568"/>
              </w:tabs>
              <w:jc w:val="center"/>
              <w:rPr>
                <w:b/>
                <w:bCs/>
              </w:rPr>
            </w:pPr>
            <w:r w:rsidRPr="00F73D4C">
              <w:rPr>
                <w:b/>
                <w:bCs/>
              </w:rPr>
              <w:t>FIRMA</w:t>
            </w:r>
          </w:p>
        </w:tc>
      </w:tr>
      <w:tr w:rsidR="00F73D4C" w14:paraId="44301614" w14:textId="77777777" w:rsidTr="00F73D4C">
        <w:tc>
          <w:tcPr>
            <w:tcW w:w="4814" w:type="dxa"/>
          </w:tcPr>
          <w:p w14:paraId="45A8C2E7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386A89BE" w14:textId="5C8717CC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6A33116B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4ABC5B64" w14:textId="77777777" w:rsidTr="00F73D4C">
        <w:tc>
          <w:tcPr>
            <w:tcW w:w="4814" w:type="dxa"/>
          </w:tcPr>
          <w:p w14:paraId="0DACD293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03CBDFCD" w14:textId="7649F0EE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3F55697B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70BA3E25" w14:textId="77777777" w:rsidTr="00F73D4C">
        <w:tc>
          <w:tcPr>
            <w:tcW w:w="4814" w:type="dxa"/>
          </w:tcPr>
          <w:p w14:paraId="211FF208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370ADEA6" w14:textId="3A170B79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370C5F8C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6639D4D2" w14:textId="77777777" w:rsidTr="00F73D4C">
        <w:tc>
          <w:tcPr>
            <w:tcW w:w="4814" w:type="dxa"/>
          </w:tcPr>
          <w:p w14:paraId="281EADD7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33EF0BCD" w14:textId="6194E4E9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74A482C6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5D42EB6C" w14:textId="77777777" w:rsidTr="00F73D4C">
        <w:tc>
          <w:tcPr>
            <w:tcW w:w="4814" w:type="dxa"/>
          </w:tcPr>
          <w:p w14:paraId="6155B512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53A675E6" w14:textId="3BFFD9DD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3405CAD4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4A66BDF6" w14:textId="77777777" w:rsidTr="00F73D4C">
        <w:tc>
          <w:tcPr>
            <w:tcW w:w="4814" w:type="dxa"/>
          </w:tcPr>
          <w:p w14:paraId="013A9874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6B4E8837" w14:textId="33CAAC23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3ECC9B18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2FF4B1A9" w14:textId="77777777" w:rsidTr="00F73D4C">
        <w:tc>
          <w:tcPr>
            <w:tcW w:w="4814" w:type="dxa"/>
          </w:tcPr>
          <w:p w14:paraId="7F387418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629262D4" w14:textId="30105FD0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24E63E67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290EA4E0" w14:textId="77777777" w:rsidTr="00F73D4C">
        <w:tc>
          <w:tcPr>
            <w:tcW w:w="4814" w:type="dxa"/>
          </w:tcPr>
          <w:p w14:paraId="3E525A02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64EB6861" w14:textId="5D486B89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36104408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01C970A3" w14:textId="77777777" w:rsidTr="00F73D4C">
        <w:tc>
          <w:tcPr>
            <w:tcW w:w="4814" w:type="dxa"/>
          </w:tcPr>
          <w:p w14:paraId="45BEAC4B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3094ABE7" w14:textId="7853E680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52938E5D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76E14C66" w14:textId="77777777" w:rsidTr="00F73D4C">
        <w:tc>
          <w:tcPr>
            <w:tcW w:w="4814" w:type="dxa"/>
          </w:tcPr>
          <w:p w14:paraId="61F70425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6F5C4EC1" w14:textId="3EE49363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43463162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73BAF227" w14:textId="77777777" w:rsidTr="00F73D4C">
        <w:tc>
          <w:tcPr>
            <w:tcW w:w="4814" w:type="dxa"/>
          </w:tcPr>
          <w:p w14:paraId="73E08BD7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054D38A4" w14:textId="5C66EEB5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7E829C81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1CA0BB91" w14:textId="77777777" w:rsidTr="00F73D4C">
        <w:tc>
          <w:tcPr>
            <w:tcW w:w="4814" w:type="dxa"/>
          </w:tcPr>
          <w:p w14:paraId="23895413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4E5D1074" w14:textId="08619B23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634D0409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144527CB" w14:textId="77777777" w:rsidTr="00F73D4C">
        <w:tc>
          <w:tcPr>
            <w:tcW w:w="4814" w:type="dxa"/>
          </w:tcPr>
          <w:p w14:paraId="094BBCA8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659F0A88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39913FB0" w14:textId="3EE155A2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  <w:tr w:rsidR="00F73D4C" w14:paraId="0B77085B" w14:textId="77777777" w:rsidTr="00F73D4C">
        <w:tc>
          <w:tcPr>
            <w:tcW w:w="4814" w:type="dxa"/>
          </w:tcPr>
          <w:p w14:paraId="2AD9514C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  <w:tc>
          <w:tcPr>
            <w:tcW w:w="4814" w:type="dxa"/>
          </w:tcPr>
          <w:p w14:paraId="10705CF3" w14:textId="77777777" w:rsidR="00F73D4C" w:rsidRDefault="00F73D4C" w:rsidP="004C43B7">
            <w:pPr>
              <w:tabs>
                <w:tab w:val="left" w:pos="8568"/>
              </w:tabs>
              <w:jc w:val="both"/>
            </w:pPr>
          </w:p>
          <w:p w14:paraId="6E10897A" w14:textId="2163E5B7" w:rsidR="00F73D4C" w:rsidRDefault="00F73D4C" w:rsidP="004C43B7">
            <w:pPr>
              <w:tabs>
                <w:tab w:val="left" w:pos="8568"/>
              </w:tabs>
              <w:jc w:val="both"/>
            </w:pPr>
          </w:p>
        </w:tc>
      </w:tr>
    </w:tbl>
    <w:p w14:paraId="2EDC935D" w14:textId="5F0E2F93" w:rsidR="00F73D4C" w:rsidRDefault="00F73D4C" w:rsidP="004C43B7">
      <w:pPr>
        <w:tabs>
          <w:tab w:val="left" w:pos="8568"/>
        </w:tabs>
        <w:jc w:val="both"/>
      </w:pPr>
    </w:p>
    <w:p w14:paraId="2D229A25" w14:textId="06ACF38F" w:rsidR="000C6AE0" w:rsidRDefault="000C6AE0" w:rsidP="00C05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1</w:t>
      </w:r>
    </w:p>
    <w:p w14:paraId="7AEEEA12" w14:textId="77777777" w:rsidR="001A1B2A" w:rsidRPr="001E0D97" w:rsidRDefault="001A1B2A" w:rsidP="001A1B2A">
      <w:pPr>
        <w:pStyle w:val="Default"/>
        <w:spacing w:after="46"/>
        <w:jc w:val="both"/>
        <w:rPr>
          <w:b/>
          <w:bCs/>
        </w:rPr>
      </w:pPr>
      <w:r w:rsidRPr="001E0D97">
        <w:rPr>
          <w:rFonts w:asciiTheme="minorHAnsi" w:hAnsiTheme="minorHAnsi" w:cstheme="minorBidi"/>
          <w:b/>
          <w:bCs/>
          <w:color w:val="auto"/>
        </w:rPr>
        <w:t>DISPOSIZIONI PER LA PULIZIA</w:t>
      </w:r>
    </w:p>
    <w:p w14:paraId="4280E4EC" w14:textId="14570EBD" w:rsidR="000C6AE0" w:rsidRDefault="000C6AE0" w:rsidP="00C058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CCA1D" w14:textId="569570E0" w:rsidR="000C6AE0" w:rsidRDefault="000C6AE0" w:rsidP="000C6A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E0D97">
        <w:rPr>
          <w:rFonts w:ascii="Arial" w:hAnsi="Arial" w:cs="Arial"/>
          <w:color w:val="000000"/>
        </w:rPr>
        <w:t>Per la pulizia di ambienti non frequentati da casi di COVID-19</w:t>
      </w:r>
      <w:r w:rsidR="00F73D4C">
        <w:rPr>
          <w:rFonts w:ascii="Arial" w:hAnsi="Arial" w:cs="Arial"/>
          <w:color w:val="000000"/>
        </w:rPr>
        <w:t>SI</w:t>
      </w:r>
      <w:r w:rsidRPr="001E0D97">
        <w:rPr>
          <w:rFonts w:ascii="Arial" w:hAnsi="Arial" w:cs="Arial"/>
          <w:color w:val="000000"/>
        </w:rPr>
        <w:t>,</w:t>
      </w:r>
      <w:r w:rsidR="00F73D4C">
        <w:rPr>
          <w:rFonts w:ascii="Arial" w:hAnsi="Arial" w:cs="Arial"/>
          <w:color w:val="000000"/>
        </w:rPr>
        <w:t xml:space="preserve"> si procede</w:t>
      </w:r>
      <w:r w:rsidRPr="001E0D97">
        <w:rPr>
          <w:rFonts w:ascii="Arial" w:hAnsi="Arial" w:cs="Arial"/>
          <w:color w:val="000000"/>
        </w:rPr>
        <w:t xml:space="preserve"> alle pulizie ordinarie degli ambienti con i comuni detergenti, avendo cura di pulire con particolare attenzione tutte le superfici toccate di frequente (es. muri, porte, finestre, superfici dei servizi igienici, attrezzature di lavoro). </w:t>
      </w:r>
    </w:p>
    <w:p w14:paraId="3642A443" w14:textId="185CC098" w:rsidR="000C6AE0" w:rsidRPr="001E0D97" w:rsidRDefault="000C6AE0" w:rsidP="000C6A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E0D97">
        <w:rPr>
          <w:rFonts w:ascii="Arial" w:hAnsi="Arial" w:cs="Arial"/>
          <w:color w:val="000000"/>
        </w:rPr>
        <w:t>Per la pulizia di ambienti non sanitari (es. postazioni di lavoro, uffici, mezzi di trasporto) dove abbiano eventualmente soggiornato casi di COVID-19</w:t>
      </w:r>
      <w:r w:rsidR="00F73D4C">
        <w:rPr>
          <w:rFonts w:ascii="Arial" w:hAnsi="Arial" w:cs="Arial"/>
          <w:color w:val="000000"/>
        </w:rPr>
        <w:t xml:space="preserve">, si </w:t>
      </w:r>
      <w:r w:rsidRPr="001E0D97">
        <w:rPr>
          <w:rFonts w:ascii="Arial" w:hAnsi="Arial" w:cs="Arial"/>
          <w:color w:val="000000"/>
        </w:rPr>
        <w:t>applica</w:t>
      </w:r>
      <w:r w:rsidR="00F73D4C">
        <w:rPr>
          <w:rFonts w:ascii="Arial" w:hAnsi="Arial" w:cs="Arial"/>
          <w:color w:val="000000"/>
        </w:rPr>
        <w:t>no</w:t>
      </w:r>
      <w:r w:rsidRPr="001E0D97">
        <w:rPr>
          <w:rFonts w:ascii="Arial" w:hAnsi="Arial" w:cs="Arial"/>
          <w:color w:val="000000"/>
        </w:rPr>
        <w:t xml:space="preserve"> le misure straordinarie di seguito riportate: </w:t>
      </w:r>
    </w:p>
    <w:p w14:paraId="35A45D21" w14:textId="77777777" w:rsidR="000C6AE0" w:rsidRDefault="000C6AE0" w:rsidP="000C6A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0D97">
        <w:rPr>
          <w:rFonts w:ascii="Arial" w:hAnsi="Arial" w:cs="Arial"/>
          <w:color w:val="000000"/>
        </w:rPr>
        <w:t xml:space="preserve">a causa della possibile sopravvivenza del virus nell’ambiente per diverso tempo, i luoghi e le aree potenzialmente contaminati da SARS-CoV-2 devono essere sottoposti a completa pulizia con acqua e detergenti comuni prima di essere nuovamente utilizzati. Per la decontaminazione, si raccomanda l’uso di ipoclorito di sodio 0,1% (es. candeggina, varechina, amuchina) dopo la pulizia. Per le superfici che possono essere danneggiate dall’ipoclorito di sodio, utilizzare etanolo al 70% (alcol) dopo la pulizia con un detergente neutro. </w:t>
      </w:r>
    </w:p>
    <w:p w14:paraId="7D959D11" w14:textId="77777777" w:rsidR="000C6AE0" w:rsidRDefault="000C6AE0" w:rsidP="000C6A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0D97">
        <w:rPr>
          <w:rFonts w:ascii="Arial" w:hAnsi="Arial" w:cs="Arial"/>
          <w:color w:val="000000"/>
        </w:rPr>
        <w:t xml:space="preserve">Durante le operazioni di pulizia con prodotti chimici, assicurare la ventilazione degli ambienti. Tutte le operazioni di pulizia devono essere condotte da personale provvisto di DPI (filtrante respiratorio FFP2 o FFP3, protezione facciale, guanti monouso, camice monouso impermeabile a maniche lunghe, e seguire le misure indicate per la rimozione in sicurezza dei DPI). Dopo l’uso, i DPI monouso vanno smaltiti come materiale potenzialmente infetto; quelli riutilizzabili vanno invece sanificati. </w:t>
      </w:r>
    </w:p>
    <w:p w14:paraId="6FB78C76" w14:textId="77777777" w:rsidR="000C6AE0" w:rsidRPr="001E0D97" w:rsidRDefault="000C6AE0" w:rsidP="000C6A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0D97">
        <w:rPr>
          <w:rFonts w:ascii="Arial" w:hAnsi="Arial" w:cs="Arial"/>
          <w:color w:val="000000"/>
        </w:rPr>
        <w:t xml:space="preserve">Vanno pulite con particolare attenzione tutte le superfici toccate di frequente, quali superfici di muri, porte e finestre, superfici dei servizi igienici e sanitari, attrezzature di lavoro. </w:t>
      </w:r>
    </w:p>
    <w:p w14:paraId="6F946B4C" w14:textId="77777777" w:rsidR="000C6AE0" w:rsidRPr="008F1893" w:rsidRDefault="000C6AE0" w:rsidP="000C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5505E3" w14:textId="77777777" w:rsidR="001A1B2A" w:rsidRDefault="001A1B2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BF83182" w14:textId="77777777" w:rsidR="001A1B2A" w:rsidRPr="001A1B2A" w:rsidRDefault="001A1B2A" w:rsidP="001A1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B2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2</w:t>
      </w:r>
    </w:p>
    <w:p w14:paraId="21113412" w14:textId="00CE78AD" w:rsidR="000C6AE0" w:rsidRPr="001A383A" w:rsidRDefault="000C6AE0" w:rsidP="000C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A383A">
        <w:rPr>
          <w:rFonts w:ascii="Arial" w:hAnsi="Arial" w:cs="Arial"/>
          <w:b/>
          <w:bCs/>
          <w:color w:val="000000"/>
        </w:rPr>
        <w:t>COMPORTA</w:t>
      </w:r>
      <w:r>
        <w:rPr>
          <w:rFonts w:ascii="Arial" w:hAnsi="Arial" w:cs="Arial"/>
          <w:b/>
          <w:bCs/>
          <w:color w:val="000000"/>
        </w:rPr>
        <w:t xml:space="preserve">MENTI DA ATTUARE </w:t>
      </w:r>
      <w:r w:rsidRPr="001A383A">
        <w:rPr>
          <w:rFonts w:ascii="Arial" w:hAnsi="Arial" w:cs="Arial"/>
          <w:b/>
          <w:bCs/>
          <w:color w:val="000000"/>
        </w:rPr>
        <w:t>IN CASO DI SOSPETTO DI CONTAGIO</w:t>
      </w:r>
    </w:p>
    <w:p w14:paraId="2C0750FC" w14:textId="77777777" w:rsidR="000C6AE0" w:rsidRDefault="000C6AE0" w:rsidP="000C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BAA119" w14:textId="77777777" w:rsidR="000C6AE0" w:rsidRPr="00014E26" w:rsidRDefault="000C6AE0" w:rsidP="000C6A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b/>
          <w:bCs/>
          <w:color w:val="000000"/>
        </w:rPr>
        <w:t>Lavoratore sottoposto alla misura della quarantena che non rispettando il divieto assoluto di allontanamento dalla propria abitazione o dimora si presenta al lavoro</w:t>
      </w:r>
      <w:r w:rsidRPr="00014E26">
        <w:rPr>
          <w:rFonts w:ascii="Arial" w:hAnsi="Arial" w:cs="Arial"/>
          <w:color w:val="000000"/>
        </w:rPr>
        <w:t xml:space="preserve">: </w:t>
      </w:r>
    </w:p>
    <w:p w14:paraId="25C315D9" w14:textId="77777777" w:rsidR="000C6AE0" w:rsidRDefault="000C6AE0" w:rsidP="000C6A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>non adibire ad attività lavorativa;</w:t>
      </w:r>
    </w:p>
    <w:p w14:paraId="4829F089" w14:textId="77777777" w:rsidR="000C6AE0" w:rsidRPr="00014E26" w:rsidRDefault="000C6AE0" w:rsidP="000C6A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 xml:space="preserve">deve essere fornita e fatta indossare tempestivamente una mascherina e deve essere data indicazione di tornare e rimanere presso la propria abitazione o dimora (evitando l’utilizzo di mezzi di trasporto pubblici), dandone contestuale informazione alle Autorità Competenti. </w:t>
      </w:r>
    </w:p>
    <w:p w14:paraId="0BFD9549" w14:textId="77777777" w:rsidR="000C6AE0" w:rsidRDefault="000C6AE0" w:rsidP="000C6AE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</w:rPr>
      </w:pPr>
    </w:p>
    <w:p w14:paraId="1A54B902" w14:textId="77777777" w:rsidR="000C6AE0" w:rsidRPr="00014E26" w:rsidRDefault="000C6AE0" w:rsidP="000C6A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b/>
          <w:bCs/>
          <w:color w:val="000000"/>
        </w:rPr>
        <w:t>Lavoratore che riferisce di essere stato nei 14 giorni precedenti a contatto stretto</w:t>
      </w:r>
      <w:r w:rsidRPr="00014E26">
        <w:rPr>
          <w:rFonts w:ascii="Arial" w:hAnsi="Arial" w:cs="Arial"/>
          <w:color w:val="000000"/>
          <w:sz w:val="14"/>
          <w:szCs w:val="14"/>
        </w:rPr>
        <w:t xml:space="preserve"> </w:t>
      </w:r>
      <w:r w:rsidRPr="00014E26">
        <w:rPr>
          <w:rFonts w:ascii="Arial" w:hAnsi="Arial" w:cs="Arial"/>
          <w:b/>
          <w:bCs/>
          <w:color w:val="000000"/>
        </w:rPr>
        <w:t>con un caso di COVID-19 che si presenta al lavoro</w:t>
      </w:r>
      <w:r w:rsidRPr="00014E26">
        <w:rPr>
          <w:rFonts w:ascii="Arial" w:hAnsi="Arial" w:cs="Arial"/>
          <w:color w:val="000000"/>
        </w:rPr>
        <w:t xml:space="preserve">: </w:t>
      </w:r>
    </w:p>
    <w:p w14:paraId="3F4A5100" w14:textId="77777777" w:rsidR="000C6AE0" w:rsidRDefault="000C6AE0" w:rsidP="000C6A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>non adibire ad attività lavorativa;</w:t>
      </w:r>
    </w:p>
    <w:p w14:paraId="21124D96" w14:textId="77777777" w:rsidR="000C6AE0" w:rsidRDefault="000C6AE0" w:rsidP="000C6A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>deve essere fornita e fatta indossare tempestivamente una mascherina e deve essere data indicazione di tornare e rimanere presso la propria abitazione o dimora (evitando l’utilizzo di mezzi di trasporto pubblici) e di contattare il proprio Medico di Medicina Generale o il Servizio di Continuità Assistenziale, anche ai fini della certificazione dell’eventuale stato di malattia;</w:t>
      </w:r>
    </w:p>
    <w:p w14:paraId="56372C23" w14:textId="77777777" w:rsidR="000C6AE0" w:rsidRPr="00014E26" w:rsidRDefault="000C6AE0" w:rsidP="000C6A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 xml:space="preserve">finché il soggetto permane all’interno dell’azienda, si deve assicurare che rimanga il più possibile lontano e isolato dagli altri soggetti presenti (lavoratori, visitatori). </w:t>
      </w:r>
    </w:p>
    <w:p w14:paraId="1DA520D8" w14:textId="77777777" w:rsidR="000C6AE0" w:rsidRDefault="000C6AE0" w:rsidP="000C6AE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</w:rPr>
      </w:pPr>
    </w:p>
    <w:p w14:paraId="62E9C80C" w14:textId="77777777" w:rsidR="000C6AE0" w:rsidRPr="00014E26" w:rsidRDefault="000C6AE0" w:rsidP="000C6A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b/>
          <w:bCs/>
          <w:color w:val="000000"/>
        </w:rPr>
        <w:t xml:space="preserve">Lavoratore che, inizialmente asintomatico, durante l’attività lavorativa sviluppa febbre e sintomi respiratori (tosse e difficoltà respiratoria): </w:t>
      </w:r>
    </w:p>
    <w:p w14:paraId="3DAC5C6F" w14:textId="77777777" w:rsidR="000C6AE0" w:rsidRDefault="000C6AE0" w:rsidP="000C6A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>far indossare al soggetto che ha manifestato i sintomi una mascherina;</w:t>
      </w:r>
    </w:p>
    <w:p w14:paraId="1862F3A1" w14:textId="77777777" w:rsidR="000C6AE0" w:rsidRPr="00014E26" w:rsidRDefault="000C6AE0" w:rsidP="000C6A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 xml:space="preserve">far allontanare dai locali eventuali altri lavoratori o utenti presenti e contattare il 118. </w:t>
      </w:r>
    </w:p>
    <w:p w14:paraId="27293125" w14:textId="77777777" w:rsidR="000C6AE0" w:rsidRDefault="000C6AE0" w:rsidP="000C6AE0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</w:rPr>
      </w:pPr>
    </w:p>
    <w:p w14:paraId="724F211E" w14:textId="77777777" w:rsidR="000C6AE0" w:rsidRPr="00014E26" w:rsidRDefault="000C6AE0" w:rsidP="000C6A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b/>
          <w:bCs/>
          <w:color w:val="000000"/>
        </w:rPr>
        <w:t xml:space="preserve">Lavoratore asintomatico durante l’attività lavorativa che successivamente sviluppa un quadro di COVID-19: </w:t>
      </w:r>
    </w:p>
    <w:p w14:paraId="60B68371" w14:textId="77777777" w:rsidR="000C6AE0" w:rsidRPr="00014E26" w:rsidRDefault="000C6AE0" w:rsidP="000C6AE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14E26">
        <w:rPr>
          <w:rFonts w:ascii="Arial" w:hAnsi="Arial" w:cs="Arial"/>
          <w:color w:val="000000"/>
        </w:rPr>
        <w:t xml:space="preserve">non è previsto alcun adempimento a carico del Datore di lavoro (o suoi collaboratori), se non collaborare con l’azienda sanitaria territorialmente competente mettendo a disposizione le informazioni in proprio possesso al fine dell’identificazione di eventuali contatti; gli eventuali contatti saranno inclusi in uno specifico percorso di sorveglianza da parte dell’azienda sanitaria territorialmente competente, che comprende anche l’isolamento domiciliare per 14 giorni dall’ultimo contatto avvenuto </w:t>
      </w:r>
    </w:p>
    <w:p w14:paraId="54DD7684" w14:textId="77777777" w:rsidR="000C6AE0" w:rsidRDefault="000C6AE0" w:rsidP="000C6AE0">
      <w:pPr>
        <w:jc w:val="both"/>
      </w:pPr>
    </w:p>
    <w:p w14:paraId="4F189871" w14:textId="77777777" w:rsidR="000C6AE0" w:rsidRDefault="000C6AE0" w:rsidP="000C6AE0">
      <w:pPr>
        <w:pStyle w:val="Paragrafoelenco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014E26">
        <w:rPr>
          <w:rFonts w:ascii="Arial" w:hAnsi="Arial" w:cs="Arial"/>
          <w:b/>
          <w:bCs/>
        </w:rPr>
        <w:t>Lavoratore in procinto di rientrare dall’estero da trasferta lavorativa:</w:t>
      </w:r>
    </w:p>
    <w:p w14:paraId="7D9D15DE" w14:textId="77777777" w:rsidR="000C6AE0" w:rsidRPr="00014E26" w:rsidRDefault="000C6AE0" w:rsidP="000C6AE0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014E26">
        <w:rPr>
          <w:rFonts w:ascii="Arial" w:hAnsi="Arial" w:cs="Arial"/>
        </w:rPr>
        <w:t>disporre che il lavoratore rientrante in Italia da aree a rischio epidemiologico informi tempestivamente il Dipartimento di Prevenzione dell’azienda sanitaria territorialmente competente, per l’adozione di ogni misura necessaria, compresa la permanenza domiciliare fiduciaria con sorveglianza attiva.</w:t>
      </w:r>
    </w:p>
    <w:p w14:paraId="0E5CD84B" w14:textId="77777777" w:rsidR="000C6AE0" w:rsidRDefault="000C6AE0" w:rsidP="000C6AE0"/>
    <w:p w14:paraId="5E208813" w14:textId="77777777" w:rsidR="000C6AE0" w:rsidRPr="003243AC" w:rsidRDefault="000C6AE0" w:rsidP="00C058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93E6F" w14:textId="77777777" w:rsidR="007430F8" w:rsidRPr="003243AC" w:rsidRDefault="007430F8" w:rsidP="00C05848">
      <w:pPr>
        <w:pStyle w:val="NormaleWeb"/>
        <w:shd w:val="clear" w:color="auto" w:fill="FFFFFF"/>
        <w:spacing w:before="0" w:beforeAutospacing="0" w:after="188" w:afterAutospacing="0"/>
        <w:jc w:val="both"/>
      </w:pPr>
    </w:p>
    <w:p w14:paraId="537FDE27" w14:textId="77777777" w:rsidR="00DA637B" w:rsidRDefault="00DA637B" w:rsidP="00DA637B">
      <w:pPr>
        <w:tabs>
          <w:tab w:val="left" w:pos="8568"/>
        </w:tabs>
        <w:jc w:val="both"/>
      </w:pPr>
    </w:p>
    <w:p w14:paraId="2842FB47" w14:textId="77777777" w:rsidR="00DA637B" w:rsidRDefault="00DA637B" w:rsidP="00C05848">
      <w:pPr>
        <w:jc w:val="both"/>
      </w:pPr>
    </w:p>
    <w:p w14:paraId="03770B5E" w14:textId="77777777" w:rsidR="007430F8" w:rsidRDefault="007430F8" w:rsidP="00C05848">
      <w:pPr>
        <w:jc w:val="both"/>
      </w:pPr>
    </w:p>
    <w:p w14:paraId="08FBD165" w14:textId="77777777" w:rsidR="007430F8" w:rsidRDefault="007430F8" w:rsidP="00C05848">
      <w:pPr>
        <w:jc w:val="both"/>
      </w:pPr>
    </w:p>
    <w:p w14:paraId="3F9CC4AB" w14:textId="77777777" w:rsidR="007430F8" w:rsidRDefault="007430F8" w:rsidP="00C05848">
      <w:pPr>
        <w:jc w:val="both"/>
      </w:pPr>
    </w:p>
    <w:p w14:paraId="7C3197B4" w14:textId="77777777" w:rsidR="007430F8" w:rsidRDefault="007430F8" w:rsidP="00C05848">
      <w:pPr>
        <w:jc w:val="both"/>
      </w:pPr>
    </w:p>
    <w:sectPr w:rsidR="007430F8" w:rsidSect="00DA6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E73"/>
    <w:multiLevelType w:val="hybridMultilevel"/>
    <w:tmpl w:val="6AC43876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1BF"/>
    <w:multiLevelType w:val="hybridMultilevel"/>
    <w:tmpl w:val="86F84E18"/>
    <w:lvl w:ilvl="0" w:tplc="6918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DAD"/>
    <w:multiLevelType w:val="hybridMultilevel"/>
    <w:tmpl w:val="86CCD6A4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56E"/>
    <w:multiLevelType w:val="hybridMultilevel"/>
    <w:tmpl w:val="DC228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402"/>
    <w:multiLevelType w:val="hybridMultilevel"/>
    <w:tmpl w:val="AE5C7A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E19C0"/>
    <w:multiLevelType w:val="hybridMultilevel"/>
    <w:tmpl w:val="101A189C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53842"/>
    <w:multiLevelType w:val="hybridMultilevel"/>
    <w:tmpl w:val="2B1E9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C3AFB"/>
    <w:multiLevelType w:val="hybridMultilevel"/>
    <w:tmpl w:val="95DCAB9C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03D9"/>
    <w:multiLevelType w:val="hybridMultilevel"/>
    <w:tmpl w:val="A9A81B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E4AF1"/>
    <w:multiLevelType w:val="hybridMultilevel"/>
    <w:tmpl w:val="F5DA40C4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C639C"/>
    <w:multiLevelType w:val="hybridMultilevel"/>
    <w:tmpl w:val="4F8A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F8"/>
    <w:rsid w:val="00002B97"/>
    <w:rsid w:val="0006005C"/>
    <w:rsid w:val="000C6AE0"/>
    <w:rsid w:val="000C6B37"/>
    <w:rsid w:val="0013246F"/>
    <w:rsid w:val="00141392"/>
    <w:rsid w:val="001A1B2A"/>
    <w:rsid w:val="001B3F25"/>
    <w:rsid w:val="001B5F31"/>
    <w:rsid w:val="00280FAB"/>
    <w:rsid w:val="002915C6"/>
    <w:rsid w:val="003243AC"/>
    <w:rsid w:val="003C2CB2"/>
    <w:rsid w:val="00476645"/>
    <w:rsid w:val="004967F3"/>
    <w:rsid w:val="004C43B7"/>
    <w:rsid w:val="005511E8"/>
    <w:rsid w:val="00712B47"/>
    <w:rsid w:val="007430F8"/>
    <w:rsid w:val="007749D5"/>
    <w:rsid w:val="00950D31"/>
    <w:rsid w:val="009B78B8"/>
    <w:rsid w:val="00AC040C"/>
    <w:rsid w:val="00C05848"/>
    <w:rsid w:val="00D0303C"/>
    <w:rsid w:val="00D66775"/>
    <w:rsid w:val="00D95444"/>
    <w:rsid w:val="00DA637B"/>
    <w:rsid w:val="00E57C3D"/>
    <w:rsid w:val="00E8638B"/>
    <w:rsid w:val="00EC66B9"/>
    <w:rsid w:val="00F04EDA"/>
    <w:rsid w:val="00F73D4C"/>
    <w:rsid w:val="00F73F11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E792"/>
  <w15:chartTrackingRefBased/>
  <w15:docId w15:val="{24BEDF9B-0613-4A86-A721-497FF5D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30F8"/>
    <w:rPr>
      <w:b/>
      <w:bCs/>
    </w:rPr>
  </w:style>
  <w:style w:type="paragraph" w:styleId="Paragrafoelenco">
    <w:name w:val="List Paragraph"/>
    <w:basedOn w:val="Normale"/>
    <w:uiPriority w:val="34"/>
    <w:qFormat/>
    <w:rsid w:val="007430F8"/>
    <w:pPr>
      <w:ind w:left="720"/>
      <w:contextualSpacing/>
    </w:pPr>
  </w:style>
  <w:style w:type="paragraph" w:customStyle="1" w:styleId="Default">
    <w:name w:val="Default"/>
    <w:rsid w:val="00D66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0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Emmanuele Bacchin</dc:creator>
  <cp:keywords/>
  <dc:description/>
  <cp:lastModifiedBy>Luciano Tieghi</cp:lastModifiedBy>
  <cp:revision>2</cp:revision>
  <dcterms:created xsi:type="dcterms:W3CDTF">2020-03-18T11:26:00Z</dcterms:created>
  <dcterms:modified xsi:type="dcterms:W3CDTF">2020-03-18T11:26:00Z</dcterms:modified>
</cp:coreProperties>
</file>